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6D24" w14:textId="519BAB9E" w:rsidR="006A0333" w:rsidRDefault="006A0333"/>
    <w:p w14:paraId="5325DD22" w14:textId="77777777" w:rsidR="00234090" w:rsidRPr="00234090" w:rsidRDefault="00234090" w:rsidP="00234090">
      <w:pPr>
        <w:rPr>
          <w:rFonts w:ascii="Open Sans" w:eastAsia="Times New Roman" w:hAnsi="Open Sans" w:cs="Times New Roman"/>
          <w:color w:val="000000"/>
          <w:shd w:val="clear" w:color="auto" w:fill="FFFFFF"/>
        </w:rPr>
      </w:pPr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Development of a Biological Science Quantitative Reasoning Exam (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BioSQuaRE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)</w:t>
      </w:r>
    </w:p>
    <w:p w14:paraId="6EA14AA0" w14:textId="77777777" w:rsidR="00234090" w:rsidRPr="00234090" w:rsidRDefault="00234090" w:rsidP="00234090">
      <w:pPr>
        <w:rPr>
          <w:rFonts w:ascii="Open Sans" w:eastAsia="Times New Roman" w:hAnsi="Open Sans" w:cs="Times New Roman"/>
          <w:color w:val="000000"/>
          <w:shd w:val="clear" w:color="auto" w:fill="FFFFFF"/>
        </w:rPr>
      </w:pPr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Liz Stanhope, Laura Ziegler, Tabassum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Haque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, Laura Le, Marcelo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Vinces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, Gregory K. Davis, Andrew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Zieffler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, Peter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Brodfuehrer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, Marion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Preest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, Jason M.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Belitsky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, Charles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Umbanhowar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, and Paul J.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Overvoorde</w:t>
      </w:r>
      <w:proofErr w:type="spellEnd"/>
    </w:p>
    <w:p w14:paraId="3CB8BDD5" w14:textId="325D3554" w:rsidR="00234090" w:rsidRPr="00234090" w:rsidRDefault="00234090" w:rsidP="00234090">
      <w:pPr>
        <w:rPr>
          <w:rFonts w:ascii="Open Sans" w:eastAsia="Times New Roman" w:hAnsi="Open Sans" w:cs="Times New Roman"/>
          <w:color w:val="000000"/>
          <w:shd w:val="clear" w:color="auto" w:fill="FFFFFF"/>
        </w:rPr>
      </w:pPr>
    </w:p>
    <w:p w14:paraId="1EAF9419" w14:textId="77777777" w:rsidR="00234090" w:rsidRDefault="00234090" w:rsidP="00234090">
      <w:pPr>
        <w:rPr>
          <w:rFonts w:ascii="Open Sans" w:eastAsia="Times New Roman" w:hAnsi="Open Sans" w:cs="Times New Roman"/>
          <w:color w:val="000000"/>
          <w:shd w:val="clear" w:color="auto" w:fill="FFFFFF"/>
        </w:rPr>
      </w:pPr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Published Online:15 Mar 2018</w:t>
      </w:r>
    </w:p>
    <w:p w14:paraId="068B4D97" w14:textId="16AD5F5D" w:rsidR="00234090" w:rsidRDefault="00234090" w:rsidP="00234090">
      <w:pPr>
        <w:rPr>
          <w:rFonts w:ascii="Open Sans" w:eastAsia="Times New Roman" w:hAnsi="Open Sans" w:cs="Times New Roman"/>
          <w:color w:val="000000"/>
          <w:shd w:val="clear" w:color="auto" w:fill="FFFFFF"/>
        </w:rPr>
      </w:pPr>
      <w:hyperlink r:id="rId4" w:history="1">
        <w:r w:rsidRPr="004E60DB">
          <w:rPr>
            <w:rStyle w:val="Hyperlink"/>
            <w:rFonts w:ascii="Open Sans" w:eastAsia="Times New Roman" w:hAnsi="Open Sans" w:cs="Times New Roman"/>
            <w:shd w:val="clear" w:color="auto" w:fill="FFFFFF"/>
          </w:rPr>
          <w:t>https://doi.org/10.1187/cbe.16-10-0301</w:t>
        </w:r>
      </w:hyperlink>
    </w:p>
    <w:p w14:paraId="1621AB0D" w14:textId="77777777" w:rsidR="00234090" w:rsidRDefault="00234090" w:rsidP="00234090">
      <w:pPr>
        <w:rPr>
          <w:rFonts w:ascii="Open Sans" w:eastAsia="Times New Roman" w:hAnsi="Open Sans" w:cs="Times New Roman"/>
          <w:color w:val="000000"/>
          <w:shd w:val="clear" w:color="auto" w:fill="FFFFFF"/>
        </w:rPr>
      </w:pPr>
    </w:p>
    <w:p w14:paraId="5300E02D" w14:textId="143025AA" w:rsidR="00234090" w:rsidRPr="00234090" w:rsidRDefault="00234090" w:rsidP="0023409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Individuals interested in examining or using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BioSQuaRE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 should complete the Instructor Survey for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BioSQuaRE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, which can be found at </w:t>
      </w:r>
      <w:hyperlink r:id="rId5" w:tgtFrame="_blank" w:history="1">
        <w:r w:rsidRPr="00234090">
          <w:rPr>
            <w:rFonts w:ascii="Open Sans" w:eastAsia="Times New Roman" w:hAnsi="Open Sans" w:cs="Times New Roman"/>
            <w:color w:val="0000FF"/>
            <w:u w:val="single"/>
            <w:shd w:val="clear" w:color="auto" w:fill="FFFFFF"/>
          </w:rPr>
          <w:t>www.macalester.edu/hhmi/biosquare</w:t>
        </w:r>
      </w:hyperlink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. This survey gathers basic contact information (institutional type, departmental listing, class size, range of students, etc.). Once the survey is completed, directions will be sent, along with a link that will allow instructors to examine the instrument and students to complete the instrument online. We will then provide instructors who use the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BioSQuaRE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 with a report that summarizes the responses of their students (see Supplement D in the Supplemental Material). Please note that these summaries will be aggregated to the course or institution level and will be provided only if the number of students completing the </w:t>
      </w:r>
      <w:proofErr w:type="spellStart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>BioSQuaRE</w:t>
      </w:r>
      <w:proofErr w:type="spellEnd"/>
      <w:r w:rsidRPr="00234090">
        <w:rPr>
          <w:rFonts w:ascii="Open Sans" w:eastAsia="Times New Roman" w:hAnsi="Open Sans" w:cs="Times New Roman"/>
          <w:color w:val="000000"/>
          <w:shd w:val="clear" w:color="auto" w:fill="FFFFFF"/>
        </w:rPr>
        <w:t xml:space="preserve"> is large enough to protect the anonymity of individual students.</w:t>
      </w:r>
    </w:p>
    <w:p w14:paraId="4C7B87F8" w14:textId="77777777" w:rsidR="00234090" w:rsidRDefault="00234090"/>
    <w:p w14:paraId="5C139EBE" w14:textId="63A50346" w:rsidR="00234090" w:rsidRDefault="00234090">
      <w:r>
        <w:t>Online Survey for Access to Instrument:</w:t>
      </w:r>
    </w:p>
    <w:p w14:paraId="20B238F5" w14:textId="77777777" w:rsidR="00234090" w:rsidRPr="00234090" w:rsidRDefault="00234090" w:rsidP="00234090">
      <w:pPr>
        <w:rPr>
          <w:rFonts w:ascii="Times New Roman" w:eastAsia="Times New Roman" w:hAnsi="Times New Roman" w:cs="Times New Roman"/>
        </w:rPr>
      </w:pPr>
      <w:hyperlink r:id="rId6" w:history="1">
        <w:r w:rsidRPr="00234090">
          <w:rPr>
            <w:rFonts w:ascii="Times New Roman" w:eastAsia="Times New Roman" w:hAnsi="Times New Roman" w:cs="Times New Roman"/>
            <w:color w:val="0000FF"/>
            <w:u w:val="single"/>
          </w:rPr>
          <w:t>https://docs.google.com/forms/d/e/1FAIpQLSevIoHPbU3CQSX2Jal3QTbudNU1rvAfj_evNyK1TOkWNj0UZw/viewform</w:t>
        </w:r>
      </w:hyperlink>
    </w:p>
    <w:p w14:paraId="2195FFAF" w14:textId="703FD249" w:rsidR="00234090" w:rsidRDefault="00234090"/>
    <w:p w14:paraId="5B733F11" w14:textId="77777777" w:rsidR="00234090" w:rsidRDefault="00234090"/>
    <w:sectPr w:rsidR="00234090" w:rsidSect="00FF2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90"/>
    <w:rsid w:val="00002B2A"/>
    <w:rsid w:val="00015397"/>
    <w:rsid w:val="00032693"/>
    <w:rsid w:val="00070237"/>
    <w:rsid w:val="000D25A6"/>
    <w:rsid w:val="000E65DA"/>
    <w:rsid w:val="000F4AC7"/>
    <w:rsid w:val="0010214A"/>
    <w:rsid w:val="001259A5"/>
    <w:rsid w:val="00126352"/>
    <w:rsid w:val="00126B05"/>
    <w:rsid w:val="0012754B"/>
    <w:rsid w:val="001277A5"/>
    <w:rsid w:val="001445A6"/>
    <w:rsid w:val="001448AE"/>
    <w:rsid w:val="00167CB6"/>
    <w:rsid w:val="00186FEE"/>
    <w:rsid w:val="001C4655"/>
    <w:rsid w:val="001C68C7"/>
    <w:rsid w:val="001D5CD3"/>
    <w:rsid w:val="001E32FE"/>
    <w:rsid w:val="001F41A2"/>
    <w:rsid w:val="001F71FB"/>
    <w:rsid w:val="00234090"/>
    <w:rsid w:val="00252FC3"/>
    <w:rsid w:val="00253134"/>
    <w:rsid w:val="00267060"/>
    <w:rsid w:val="002928C6"/>
    <w:rsid w:val="002B5637"/>
    <w:rsid w:val="002C0726"/>
    <w:rsid w:val="002C1EEF"/>
    <w:rsid w:val="00315712"/>
    <w:rsid w:val="003347D8"/>
    <w:rsid w:val="00342DF7"/>
    <w:rsid w:val="00347A02"/>
    <w:rsid w:val="003574B3"/>
    <w:rsid w:val="00364886"/>
    <w:rsid w:val="003677D1"/>
    <w:rsid w:val="0038737C"/>
    <w:rsid w:val="003A445C"/>
    <w:rsid w:val="003C6677"/>
    <w:rsid w:val="003F02CC"/>
    <w:rsid w:val="003F794B"/>
    <w:rsid w:val="0041542F"/>
    <w:rsid w:val="00426CB1"/>
    <w:rsid w:val="00451E8E"/>
    <w:rsid w:val="004613BC"/>
    <w:rsid w:val="004636A0"/>
    <w:rsid w:val="00467215"/>
    <w:rsid w:val="00477F6C"/>
    <w:rsid w:val="00493832"/>
    <w:rsid w:val="004A31B7"/>
    <w:rsid w:val="004B7BD1"/>
    <w:rsid w:val="004C0DA9"/>
    <w:rsid w:val="004C4310"/>
    <w:rsid w:val="004D2588"/>
    <w:rsid w:val="004D2C1F"/>
    <w:rsid w:val="004E0EE3"/>
    <w:rsid w:val="00507290"/>
    <w:rsid w:val="00514257"/>
    <w:rsid w:val="0051584A"/>
    <w:rsid w:val="00524319"/>
    <w:rsid w:val="00527EB1"/>
    <w:rsid w:val="0054043C"/>
    <w:rsid w:val="00560E4C"/>
    <w:rsid w:val="005728A9"/>
    <w:rsid w:val="0059741F"/>
    <w:rsid w:val="005A1A29"/>
    <w:rsid w:val="005A3190"/>
    <w:rsid w:val="005B35B5"/>
    <w:rsid w:val="005B3608"/>
    <w:rsid w:val="005C357D"/>
    <w:rsid w:val="005D7C2F"/>
    <w:rsid w:val="005E5D14"/>
    <w:rsid w:val="005E6B81"/>
    <w:rsid w:val="00603597"/>
    <w:rsid w:val="00607996"/>
    <w:rsid w:val="00637926"/>
    <w:rsid w:val="006506E9"/>
    <w:rsid w:val="0066477A"/>
    <w:rsid w:val="00693BDE"/>
    <w:rsid w:val="006A0333"/>
    <w:rsid w:val="006A13E4"/>
    <w:rsid w:val="006C242A"/>
    <w:rsid w:val="006C5A01"/>
    <w:rsid w:val="006D4A32"/>
    <w:rsid w:val="006D7D4D"/>
    <w:rsid w:val="006E06A1"/>
    <w:rsid w:val="006F17EE"/>
    <w:rsid w:val="006F4446"/>
    <w:rsid w:val="00752572"/>
    <w:rsid w:val="00755AB2"/>
    <w:rsid w:val="00757110"/>
    <w:rsid w:val="007807A6"/>
    <w:rsid w:val="00794BAF"/>
    <w:rsid w:val="007A045E"/>
    <w:rsid w:val="007C1417"/>
    <w:rsid w:val="007C2C08"/>
    <w:rsid w:val="007D2DEA"/>
    <w:rsid w:val="00803EC8"/>
    <w:rsid w:val="00824AED"/>
    <w:rsid w:val="008270FF"/>
    <w:rsid w:val="008537A2"/>
    <w:rsid w:val="00864D58"/>
    <w:rsid w:val="0087122A"/>
    <w:rsid w:val="00884735"/>
    <w:rsid w:val="008C312A"/>
    <w:rsid w:val="00906D09"/>
    <w:rsid w:val="0091316B"/>
    <w:rsid w:val="00917AAC"/>
    <w:rsid w:val="00921B67"/>
    <w:rsid w:val="00930155"/>
    <w:rsid w:val="00941AB5"/>
    <w:rsid w:val="009446BF"/>
    <w:rsid w:val="00953841"/>
    <w:rsid w:val="00971A00"/>
    <w:rsid w:val="009B00D7"/>
    <w:rsid w:val="009E1BD5"/>
    <w:rsid w:val="009F222F"/>
    <w:rsid w:val="00A00385"/>
    <w:rsid w:val="00A63281"/>
    <w:rsid w:val="00A905E8"/>
    <w:rsid w:val="00A946A5"/>
    <w:rsid w:val="00A96995"/>
    <w:rsid w:val="00AA5D22"/>
    <w:rsid w:val="00AC10A6"/>
    <w:rsid w:val="00AF414A"/>
    <w:rsid w:val="00B135B2"/>
    <w:rsid w:val="00B343F8"/>
    <w:rsid w:val="00B5658C"/>
    <w:rsid w:val="00B60707"/>
    <w:rsid w:val="00B6767C"/>
    <w:rsid w:val="00B7616D"/>
    <w:rsid w:val="00B865E1"/>
    <w:rsid w:val="00B91455"/>
    <w:rsid w:val="00BB6129"/>
    <w:rsid w:val="00BC2A28"/>
    <w:rsid w:val="00BC39A6"/>
    <w:rsid w:val="00BD3DB8"/>
    <w:rsid w:val="00BE2514"/>
    <w:rsid w:val="00BF228B"/>
    <w:rsid w:val="00BF419B"/>
    <w:rsid w:val="00C04E46"/>
    <w:rsid w:val="00C24874"/>
    <w:rsid w:val="00C3261C"/>
    <w:rsid w:val="00C574F3"/>
    <w:rsid w:val="00C90DA0"/>
    <w:rsid w:val="00C94C59"/>
    <w:rsid w:val="00C96F94"/>
    <w:rsid w:val="00CA073B"/>
    <w:rsid w:val="00CA21A3"/>
    <w:rsid w:val="00CA2B83"/>
    <w:rsid w:val="00CA6569"/>
    <w:rsid w:val="00CD0F30"/>
    <w:rsid w:val="00CE63E4"/>
    <w:rsid w:val="00CF491B"/>
    <w:rsid w:val="00CF530F"/>
    <w:rsid w:val="00D267CE"/>
    <w:rsid w:val="00D305BB"/>
    <w:rsid w:val="00D64297"/>
    <w:rsid w:val="00D71BE8"/>
    <w:rsid w:val="00D81B48"/>
    <w:rsid w:val="00D83E17"/>
    <w:rsid w:val="00DA07B1"/>
    <w:rsid w:val="00DA1BAE"/>
    <w:rsid w:val="00DA2532"/>
    <w:rsid w:val="00DD49BB"/>
    <w:rsid w:val="00DE387F"/>
    <w:rsid w:val="00DF0CE5"/>
    <w:rsid w:val="00DF3F1D"/>
    <w:rsid w:val="00DF79B2"/>
    <w:rsid w:val="00E01748"/>
    <w:rsid w:val="00E02BCD"/>
    <w:rsid w:val="00E21B17"/>
    <w:rsid w:val="00E24504"/>
    <w:rsid w:val="00E257C1"/>
    <w:rsid w:val="00E41923"/>
    <w:rsid w:val="00E44499"/>
    <w:rsid w:val="00E45DA2"/>
    <w:rsid w:val="00E57859"/>
    <w:rsid w:val="00E73829"/>
    <w:rsid w:val="00E82842"/>
    <w:rsid w:val="00E95D9D"/>
    <w:rsid w:val="00EB6D26"/>
    <w:rsid w:val="00EB7779"/>
    <w:rsid w:val="00EC6B29"/>
    <w:rsid w:val="00EC7119"/>
    <w:rsid w:val="00EF0E93"/>
    <w:rsid w:val="00F35AD5"/>
    <w:rsid w:val="00F454BE"/>
    <w:rsid w:val="00F56FAD"/>
    <w:rsid w:val="00F577B3"/>
    <w:rsid w:val="00F625ED"/>
    <w:rsid w:val="00F76C17"/>
    <w:rsid w:val="00F93B48"/>
    <w:rsid w:val="00FA0E07"/>
    <w:rsid w:val="00FB37D4"/>
    <w:rsid w:val="00FF24D8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3F025"/>
  <w14:defaultImageDpi w14:val="32767"/>
  <w15:chartTrackingRefBased/>
  <w15:docId w15:val="{26F4FF5C-EC83-294A-B6E0-4CED773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qFormat/>
    <w:rsid w:val="00921B67"/>
    <w:pPr>
      <w:jc w:val="center"/>
    </w:pPr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1B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4">
    <w:name w:val="Style4"/>
    <w:basedOn w:val="TOC1"/>
    <w:qFormat/>
    <w:rsid w:val="00921B67"/>
    <w:pPr>
      <w:spacing w:before="120" w:after="0"/>
    </w:pPr>
    <w:rPr>
      <w:rFonts w:ascii="Times New Roman" w:hAnsi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1B6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340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3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97144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vIoHPbU3CQSX2Jal3QTbudNU1rvAfj_evNyK1TOkWNj0UZw/viewform" TargetMode="External"/><Relationship Id="rId5" Type="http://schemas.openxmlformats.org/officeDocument/2006/relationships/hyperlink" Target="http://www.macalester.edu/hhmi/biosquare" TargetMode="External"/><Relationship Id="rId4" Type="http://schemas.openxmlformats.org/officeDocument/2006/relationships/hyperlink" Target="https://doi.org/10.1187/cbe.16-10-0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2019-07-09T16:41:00Z</dcterms:created>
  <dcterms:modified xsi:type="dcterms:W3CDTF">2019-07-09T16:44:00Z</dcterms:modified>
</cp:coreProperties>
</file>